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366" w:rsidRDefault="0020261D">
      <w:r>
        <w:t>Unit Review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Alien and Sedition Acts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Kentucky and Virginia Resolutions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Alexander Hamilton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Checks and Balances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Powers of the Supreme Court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Constitutional Convention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Great Compromise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Federalism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Bill of Rights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Sec of State Thomas Jefferson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Electoral College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Flexibility of the Constitution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Debate over ratification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Weaknesses of the Articles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1</w:t>
      </w:r>
      <w:r w:rsidRPr="0020261D">
        <w:rPr>
          <w:vertAlign w:val="superscript"/>
        </w:rPr>
        <w:t>st</w:t>
      </w:r>
      <w:r>
        <w:t xml:space="preserve"> amendment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Census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Dec. of Ind.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National Bank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Alexander Hamilton’s financial plan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Republican form of government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Land Ordinance of 1785/1787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Federalist Papers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Compromises of the Constitution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Preamble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Purpose of the Articles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George Washington 1793 G.B. vs. France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Impeach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Unwritten Constitution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Whiskey Rebellion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Amendment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Elastic Clause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Federal powers vs. states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Shays Rebellion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Enlightenment thinkers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Senate powers</w:t>
      </w:r>
    </w:p>
    <w:p w:rsidR="0020261D" w:rsidRDefault="0020261D" w:rsidP="0020261D">
      <w:pPr>
        <w:pStyle w:val="ListParagraph"/>
        <w:numPr>
          <w:ilvl w:val="0"/>
          <w:numId w:val="1"/>
        </w:numPr>
      </w:pPr>
      <w:r>
        <w:t>5</w:t>
      </w:r>
      <w:r w:rsidRPr="0020261D">
        <w:rPr>
          <w:vertAlign w:val="superscript"/>
        </w:rPr>
        <w:t>th</w:t>
      </w:r>
      <w:r>
        <w:t xml:space="preserve"> Amendment</w:t>
      </w:r>
      <w:bookmarkStart w:id="0" w:name="_GoBack"/>
      <w:bookmarkEnd w:id="0"/>
    </w:p>
    <w:sectPr w:rsidR="00202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C2065"/>
    <w:multiLevelType w:val="hybridMultilevel"/>
    <w:tmpl w:val="F8BCE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1D"/>
    <w:rsid w:val="0020261D"/>
    <w:rsid w:val="00BD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CPPASD</cp:lastModifiedBy>
  <cp:revision>1</cp:revision>
  <cp:lastPrinted>2012-10-16T11:40:00Z</cp:lastPrinted>
  <dcterms:created xsi:type="dcterms:W3CDTF">2012-10-16T11:32:00Z</dcterms:created>
  <dcterms:modified xsi:type="dcterms:W3CDTF">2012-10-16T16:19:00Z</dcterms:modified>
</cp:coreProperties>
</file>